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32E47" w:rsidRDefault="00C63182" w:rsidP="00C63182">
      <w:pPr>
        <w:jc w:val="center"/>
      </w:pPr>
      <w:r w:rsidRPr="00C63182">
        <w:t>Decisão vinculante: Receita permite excluir ICMS-ST do PIS/Cofins e recuperar créditos</w:t>
      </w:r>
    </w:p>
    <w:p w:rsidR="00C63182" w:rsidRDefault="00C63182" w:rsidP="00C63182">
      <w:pPr>
        <w:jc w:val="center"/>
      </w:pPr>
    </w:p>
    <w:p w:rsidR="00C63182" w:rsidRPr="00C63182" w:rsidRDefault="00C63182" w:rsidP="00C63182">
      <w:pPr>
        <w:jc w:val="center"/>
        <w:rPr>
          <w:b/>
          <w:bCs/>
        </w:rPr>
      </w:pPr>
      <w:r w:rsidRPr="00C63182">
        <w:rPr>
          <w:b/>
          <w:bCs/>
        </w:rPr>
        <w:t>OU</w:t>
      </w:r>
    </w:p>
    <w:p w:rsidR="00C63182" w:rsidRDefault="00C63182" w:rsidP="00732E47"/>
    <w:p w:rsidR="00C63182" w:rsidRDefault="00C63182" w:rsidP="00C63182">
      <w:pPr>
        <w:jc w:val="center"/>
      </w:pPr>
      <w:r w:rsidRPr="00C63182">
        <w:t>Empresas podem excluir ICMS-ST do PIS/Cofins e reaver o que pagaram indevidamente</w:t>
      </w:r>
    </w:p>
    <w:p w:rsidR="00C63182" w:rsidRDefault="00C63182" w:rsidP="00732E47"/>
    <w:p w:rsidR="00732E47" w:rsidRDefault="00732E47" w:rsidP="00732E47">
      <w:r>
        <w:t>A Receita Federal autorizou oficialmente que empresas excluam o ICMS-ST da base de cálculo do PIS e da Cofins. Essa orientação consta na Solução de Consulta Cosit nº 100, publicada recentemente, que alterou o entendimento anterior do próprio órgão, alinhando-se ao posicionamento do Superior Tribunal de Justiça proferido em 2023 sobre o tema.</w:t>
      </w:r>
    </w:p>
    <w:p w:rsidR="00732E47" w:rsidRDefault="00732E47" w:rsidP="00732E47"/>
    <w:p w:rsidR="00732E47" w:rsidRDefault="00732E47" w:rsidP="00732E47">
      <w:r>
        <w:t>Cabe esclarecer que as Soluções de Consulta da Coordenação-Geral de Tributação (Cosit) possuem efeito vinculante no âmbito da Receita Federal, ou seja, seu entendimento deve ser obrigatoriamente seguido pelos auditores fiscais em procedimentos de fiscalização e pelos contribuintes que se enquadrem na hipótese consultada.</w:t>
      </w:r>
    </w:p>
    <w:p w:rsidR="00732E47" w:rsidRDefault="00732E47" w:rsidP="00732E47"/>
    <w:p w:rsidR="00732E47" w:rsidRDefault="00732E47" w:rsidP="00732E47">
      <w:r w:rsidRPr="00732E47">
        <w:t>O ICMS-ST, regime de substituição tributária do ICMS, estabelece que um único contribuinte – denominado substituto tributário – seja responsável pelo recolhimento do imposto devido por toda a cadeia produtiva. Nesse modelo, o substituto antecipa o pagamento do tributo, enquanto os demais participantes da cadeia, chamados substituídos, ficam desonerados do recolhimento direto</w:t>
      </w:r>
      <w:r>
        <w:t xml:space="preserve">. </w:t>
      </w:r>
    </w:p>
    <w:p w:rsidR="00732E47" w:rsidRDefault="00732E47" w:rsidP="00732E47"/>
    <w:p w:rsidR="00732E47" w:rsidRDefault="00732E47" w:rsidP="00732E47">
      <w:r>
        <w:t>Ele antecipa o recolhimento do imposto, que já é calculado de forma presumida, enquanto os demais contribuintes da cadeia, chamados substituídos, apenas arcam com o custo do tributo embutido nos preços, sem efetuar o pagamento direto ao Estado.</w:t>
      </w:r>
    </w:p>
    <w:p w:rsidR="00732E47" w:rsidRDefault="00732E47" w:rsidP="00732E47"/>
    <w:p w:rsidR="00732E47" w:rsidRDefault="00732E47" w:rsidP="00732E47">
      <w:r>
        <w:t>Anteriormente, a Receita Federal entendia que apenas o substituto poderia excluir o ICMS-ST da base de cálculo do PIS e da Cofins. O contribuinte substituído – aquele que não recolhe diretamente o ICMS-ST, mas arca com o valor – não teria esse direito. Esse posicionamento estava previsto, por exemplo, na Solução de Consulta Cosit nº 104/2017.</w:t>
      </w:r>
    </w:p>
    <w:p w:rsidR="00732E47" w:rsidRDefault="00732E47" w:rsidP="00732E47"/>
    <w:p w:rsidR="00732E47" w:rsidRDefault="00732E47" w:rsidP="00732E47">
      <w:r>
        <w:t>Com a nova orientação, a Receita passa a reconhecer a possibilidade de exclusão também pelo substituído, alinhando-se à decisão do STJ no Tema 1125. Naquele julgamento, os ministros entenderam que o ICMS-ST não compõe o faturamento do contribuinte substituído, pois o imposto estadual apenas transita pelo caixa das empresas sem representar receita própria. Na prática, o ICMS-ST é um valor que a empresa apenas repassa, sem que integre seu patrimônio como receita.</w:t>
      </w:r>
    </w:p>
    <w:p w:rsidR="00732E47" w:rsidRDefault="00732E47" w:rsidP="00732E47"/>
    <w:p w:rsidR="00732E47" w:rsidRDefault="00732E47" w:rsidP="00732E47">
      <w:r>
        <w:t xml:space="preserve">No caso analisado na consulta, uma empresa de transporte multimodal de cargas questionava se poderia excluir o ICMS-ST destacado no conhecimento de transporte eletrônico do cálculo do PIS e da Cofins, uma vez que, em alguns Estados, o tomador do serviço de transporte é considerado o substituto tributário, e a transportadora, a substituída. </w:t>
      </w:r>
    </w:p>
    <w:p w:rsidR="00732E47" w:rsidRDefault="00732E47" w:rsidP="00732E47"/>
    <w:p w:rsidR="00732E47" w:rsidRDefault="00732E47" w:rsidP="00732E47">
      <w:r>
        <w:lastRenderedPageBreak/>
        <w:t>A Receita Federal confirmou esse entendimento, desde que o valor do ICMS-ST esteja destacado na nota fiscal, pois essa informação é essencial para fins de comprovação do montante a ser excluído.</w:t>
      </w:r>
    </w:p>
    <w:p w:rsidR="00732E47" w:rsidRDefault="00732E47" w:rsidP="00732E47"/>
    <w:p w:rsidR="00732E47" w:rsidRDefault="00732E47" w:rsidP="00732E47">
      <w:r>
        <w:t xml:space="preserve">Ainda há um ponto de atenção para as empresas substituídas que desejarem recuperar esses valores. </w:t>
      </w:r>
      <w:r>
        <w:t>E</w:t>
      </w:r>
      <w:r>
        <w:t>mbora a Receita Federal tenha autorizado a exclusão, muitas vezes o valor do ICMS-ST não consta na nota fiscal emitida pelo substituído, o que pode gerar dificuldades operacionais. Uma possível solução seria informar esse valor com base nos documentos fiscais do substituto, ainda que essa prática demande cautela para fins de comprovação junto ao fisco.</w:t>
      </w:r>
    </w:p>
    <w:p w:rsidR="00732E47" w:rsidRDefault="00732E47" w:rsidP="00732E47"/>
    <w:p w:rsidR="00732E47" w:rsidRDefault="00732E47" w:rsidP="00732E47">
      <w:r>
        <w:t>A exclusão do ICMS-ST da base do PIS e da Cofins é considerada uma tese filhote da chamada “tese do século”, consolidada pelo Supremo Tribunal Federal em 2017 (Tema 69), que determinou a exclusão do ICMS próprio do cálculo das contribuições federais. A jurisprudência firmada no STJ em 2023 reforça o posicionamento de que apenas valores que configurem receita ou faturamento próprio das empresas podem compor a base de cálculo do PIS e da Cofins.</w:t>
      </w:r>
    </w:p>
    <w:p w:rsidR="00732E47" w:rsidRDefault="00732E47" w:rsidP="00732E47"/>
    <w:p w:rsidR="00732E47" w:rsidRDefault="00732E47" w:rsidP="00732E47">
      <w:r>
        <w:t>Essa decisão representa uma oportunidade estratégica para empresas que recolheram PIS e Cofins considerando o ICMS-ST nos últimos cinco anos. Nossa equipe está preparada para analisar a situação fiscal da sua empresa, mapear os créditos recuperáveis e conduzir os procedimentos administrativos necessários para garantir a restituição ou compensação dos valores pagos indevidamente, com segurança jurídica e eficiência tributária</w:t>
      </w:r>
    </w:p>
    <w:sectPr w:rsidR="00732E4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32E47" w:rsidRDefault="00732E47" w:rsidP="00732E47">
      <w:r>
        <w:separator/>
      </w:r>
    </w:p>
  </w:endnote>
  <w:endnote w:type="continuationSeparator" w:id="0">
    <w:p w:rsidR="00732E47" w:rsidRDefault="00732E47" w:rsidP="00732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32E47" w:rsidRDefault="00732E47" w:rsidP="00732E47">
      <w:r>
        <w:separator/>
      </w:r>
    </w:p>
  </w:footnote>
  <w:footnote w:type="continuationSeparator" w:id="0">
    <w:p w:rsidR="00732E47" w:rsidRDefault="00732E47" w:rsidP="00732E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47"/>
    <w:rsid w:val="004A5597"/>
    <w:rsid w:val="005163F3"/>
    <w:rsid w:val="007154DE"/>
    <w:rsid w:val="00732E47"/>
    <w:rsid w:val="00A37D03"/>
    <w:rsid w:val="00C63182"/>
    <w:rsid w:val="00E950D0"/>
    <w:rsid w:val="00EE1DC3"/>
    <w:rsid w:val="00FF33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5F36B"/>
  <w15:chartTrackingRefBased/>
  <w15:docId w15:val="{5104E60A-C660-45DC-9FAB-AB8D1592D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ind w:left="85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732E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732E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732E4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32E4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32E4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32E4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32E4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32E4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32E47"/>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32E47"/>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732E47"/>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732E47"/>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732E47"/>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732E47"/>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732E47"/>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732E47"/>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732E47"/>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732E47"/>
    <w:rPr>
      <w:rFonts w:eastAsiaTheme="majorEastAsia" w:cstheme="majorBidi"/>
      <w:color w:val="272727" w:themeColor="text1" w:themeTint="D8"/>
    </w:rPr>
  </w:style>
  <w:style w:type="paragraph" w:styleId="Ttulo">
    <w:name w:val="Title"/>
    <w:basedOn w:val="Normal"/>
    <w:next w:val="Normal"/>
    <w:link w:val="TtuloChar"/>
    <w:uiPriority w:val="10"/>
    <w:qFormat/>
    <w:rsid w:val="00732E47"/>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32E4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732E47"/>
    <w:pPr>
      <w:numPr>
        <w:ilvl w:val="1"/>
      </w:numPr>
      <w:spacing w:after="160"/>
      <w:ind w:left="851"/>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32E47"/>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732E47"/>
    <w:pPr>
      <w:spacing w:before="160" w:after="160"/>
      <w:jc w:val="center"/>
    </w:pPr>
    <w:rPr>
      <w:i/>
      <w:iCs/>
      <w:color w:val="404040" w:themeColor="text1" w:themeTint="BF"/>
    </w:rPr>
  </w:style>
  <w:style w:type="character" w:customStyle="1" w:styleId="CitaoChar">
    <w:name w:val="Citação Char"/>
    <w:basedOn w:val="Fontepargpadro"/>
    <w:link w:val="Citao"/>
    <w:uiPriority w:val="29"/>
    <w:rsid w:val="00732E47"/>
    <w:rPr>
      <w:i/>
      <w:iCs/>
      <w:color w:val="404040" w:themeColor="text1" w:themeTint="BF"/>
    </w:rPr>
  </w:style>
  <w:style w:type="paragraph" w:styleId="PargrafodaLista">
    <w:name w:val="List Paragraph"/>
    <w:basedOn w:val="Normal"/>
    <w:uiPriority w:val="34"/>
    <w:qFormat/>
    <w:rsid w:val="00732E47"/>
    <w:pPr>
      <w:ind w:left="720"/>
      <w:contextualSpacing/>
    </w:pPr>
  </w:style>
  <w:style w:type="character" w:styleId="nfaseIntensa">
    <w:name w:val="Intense Emphasis"/>
    <w:basedOn w:val="Fontepargpadro"/>
    <w:uiPriority w:val="21"/>
    <w:qFormat/>
    <w:rsid w:val="00732E47"/>
    <w:rPr>
      <w:i/>
      <w:iCs/>
      <w:color w:val="2F5496" w:themeColor="accent1" w:themeShade="BF"/>
    </w:rPr>
  </w:style>
  <w:style w:type="paragraph" w:styleId="CitaoIntensa">
    <w:name w:val="Intense Quote"/>
    <w:basedOn w:val="Normal"/>
    <w:next w:val="Normal"/>
    <w:link w:val="CitaoIntensaChar"/>
    <w:uiPriority w:val="30"/>
    <w:qFormat/>
    <w:rsid w:val="00732E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32E47"/>
    <w:rPr>
      <w:i/>
      <w:iCs/>
      <w:color w:val="2F5496" w:themeColor="accent1" w:themeShade="BF"/>
    </w:rPr>
  </w:style>
  <w:style w:type="character" w:styleId="RefernciaIntensa">
    <w:name w:val="Intense Reference"/>
    <w:basedOn w:val="Fontepargpadro"/>
    <w:uiPriority w:val="32"/>
    <w:qFormat/>
    <w:rsid w:val="00732E47"/>
    <w:rPr>
      <w:b/>
      <w:bCs/>
      <w:smallCaps/>
      <w:color w:val="2F5496" w:themeColor="accent1" w:themeShade="BF"/>
      <w:spacing w:val="5"/>
    </w:rPr>
  </w:style>
  <w:style w:type="paragraph" w:styleId="Cabealho">
    <w:name w:val="header"/>
    <w:basedOn w:val="Normal"/>
    <w:link w:val="CabealhoChar"/>
    <w:uiPriority w:val="99"/>
    <w:unhideWhenUsed/>
    <w:rsid w:val="00732E47"/>
    <w:pPr>
      <w:tabs>
        <w:tab w:val="center" w:pos="4252"/>
        <w:tab w:val="right" w:pos="8504"/>
      </w:tabs>
    </w:pPr>
  </w:style>
  <w:style w:type="character" w:customStyle="1" w:styleId="CabealhoChar">
    <w:name w:val="Cabeçalho Char"/>
    <w:basedOn w:val="Fontepargpadro"/>
    <w:link w:val="Cabealho"/>
    <w:uiPriority w:val="99"/>
    <w:rsid w:val="00732E47"/>
  </w:style>
  <w:style w:type="paragraph" w:styleId="Rodap">
    <w:name w:val="footer"/>
    <w:basedOn w:val="Normal"/>
    <w:link w:val="RodapChar"/>
    <w:uiPriority w:val="99"/>
    <w:unhideWhenUsed/>
    <w:rsid w:val="00732E47"/>
    <w:pPr>
      <w:tabs>
        <w:tab w:val="center" w:pos="4252"/>
        <w:tab w:val="right" w:pos="8504"/>
      </w:tabs>
    </w:pPr>
  </w:style>
  <w:style w:type="character" w:customStyle="1" w:styleId="RodapChar">
    <w:name w:val="Rodapé Char"/>
    <w:basedOn w:val="Fontepargpadro"/>
    <w:link w:val="Rodap"/>
    <w:uiPriority w:val="99"/>
    <w:rsid w:val="00732E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73354">
      <w:bodyDiv w:val="1"/>
      <w:marLeft w:val="0"/>
      <w:marRight w:val="0"/>
      <w:marTop w:val="0"/>
      <w:marBottom w:val="0"/>
      <w:divBdr>
        <w:top w:val="none" w:sz="0" w:space="0" w:color="auto"/>
        <w:left w:val="none" w:sz="0" w:space="0" w:color="auto"/>
        <w:bottom w:val="none" w:sz="0" w:space="0" w:color="auto"/>
        <w:right w:val="none" w:sz="0" w:space="0" w:color="auto"/>
      </w:divBdr>
    </w:div>
    <w:div w:id="195580579">
      <w:bodyDiv w:val="1"/>
      <w:marLeft w:val="0"/>
      <w:marRight w:val="0"/>
      <w:marTop w:val="0"/>
      <w:marBottom w:val="0"/>
      <w:divBdr>
        <w:top w:val="none" w:sz="0" w:space="0" w:color="auto"/>
        <w:left w:val="none" w:sz="0" w:space="0" w:color="auto"/>
        <w:bottom w:val="none" w:sz="0" w:space="0" w:color="auto"/>
        <w:right w:val="none" w:sz="0" w:space="0" w:color="auto"/>
      </w:divBdr>
    </w:div>
    <w:div w:id="218637392">
      <w:bodyDiv w:val="1"/>
      <w:marLeft w:val="0"/>
      <w:marRight w:val="0"/>
      <w:marTop w:val="0"/>
      <w:marBottom w:val="0"/>
      <w:divBdr>
        <w:top w:val="none" w:sz="0" w:space="0" w:color="auto"/>
        <w:left w:val="none" w:sz="0" w:space="0" w:color="auto"/>
        <w:bottom w:val="none" w:sz="0" w:space="0" w:color="auto"/>
        <w:right w:val="none" w:sz="0" w:space="0" w:color="auto"/>
      </w:divBdr>
    </w:div>
    <w:div w:id="367032637">
      <w:bodyDiv w:val="1"/>
      <w:marLeft w:val="0"/>
      <w:marRight w:val="0"/>
      <w:marTop w:val="0"/>
      <w:marBottom w:val="0"/>
      <w:divBdr>
        <w:top w:val="none" w:sz="0" w:space="0" w:color="auto"/>
        <w:left w:val="none" w:sz="0" w:space="0" w:color="auto"/>
        <w:bottom w:val="none" w:sz="0" w:space="0" w:color="auto"/>
        <w:right w:val="none" w:sz="0" w:space="0" w:color="auto"/>
      </w:divBdr>
    </w:div>
    <w:div w:id="1724715101">
      <w:bodyDiv w:val="1"/>
      <w:marLeft w:val="0"/>
      <w:marRight w:val="0"/>
      <w:marTop w:val="0"/>
      <w:marBottom w:val="0"/>
      <w:divBdr>
        <w:top w:val="none" w:sz="0" w:space="0" w:color="auto"/>
        <w:left w:val="none" w:sz="0" w:space="0" w:color="auto"/>
        <w:bottom w:val="none" w:sz="0" w:space="0" w:color="auto"/>
        <w:right w:val="none" w:sz="0" w:space="0" w:color="auto"/>
      </w:divBdr>
      <w:divsChild>
        <w:div w:id="17744701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649</Words>
  <Characters>3508</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 Franklin</dc:creator>
  <cp:keywords/>
  <dc:description/>
  <cp:lastModifiedBy>Igor Franklin</cp:lastModifiedBy>
  <cp:revision>2</cp:revision>
  <dcterms:created xsi:type="dcterms:W3CDTF">2025-07-02T12:54:00Z</dcterms:created>
  <dcterms:modified xsi:type="dcterms:W3CDTF">2025-07-02T13:15:00Z</dcterms:modified>
</cp:coreProperties>
</file>